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D8937" w14:textId="77777777" w:rsidR="009204C9" w:rsidRDefault="009204C9" w:rsidP="009204C9">
      <w:pPr>
        <w:spacing w:after="240"/>
        <w:jc w:val="center"/>
        <w:rPr>
          <w:rFonts w:cs="Times New Roman"/>
          <w:szCs w:val="24"/>
        </w:rPr>
      </w:pPr>
      <w:r w:rsidRPr="009204C9">
        <w:rPr>
          <w:rFonts w:cs="Times New Roman"/>
          <w:szCs w:val="24"/>
        </w:rPr>
        <w:t>Nonprofit Manager Interview</w:t>
      </w:r>
    </w:p>
    <w:p w14:paraId="5BAAF987" w14:textId="45EC8CAC" w:rsidR="009204C9" w:rsidRPr="009204C9" w:rsidRDefault="009204C9" w:rsidP="009204C9">
      <w:pPr>
        <w:spacing w:after="240"/>
        <w:jc w:val="center"/>
        <w:rPr>
          <w:rFonts w:cs="Times New Roman"/>
          <w:szCs w:val="24"/>
        </w:rPr>
      </w:pPr>
      <w:r w:rsidRPr="009204C9">
        <w:rPr>
          <w:rFonts w:cs="Times New Roman"/>
          <w:szCs w:val="24"/>
        </w:rPr>
        <w:t>Brian Young, Founder and Executive Director, Action Network</w:t>
      </w:r>
    </w:p>
    <w:p w14:paraId="0EC0963D" w14:textId="77777777" w:rsidR="009204C9" w:rsidRDefault="009204C9" w:rsidP="009204C9">
      <w:pPr>
        <w:spacing w:after="240"/>
        <w:jc w:val="center"/>
        <w:rPr>
          <w:rFonts w:cs="Times New Roman"/>
          <w:szCs w:val="24"/>
        </w:rPr>
      </w:pPr>
    </w:p>
    <w:p w14:paraId="1108B1AE" w14:textId="33E5B795" w:rsidR="009204C9" w:rsidRPr="009204C9" w:rsidRDefault="009204C9" w:rsidP="009204C9">
      <w:pPr>
        <w:spacing w:after="240"/>
        <w:jc w:val="center"/>
        <w:rPr>
          <w:rFonts w:cs="Times New Roman"/>
          <w:szCs w:val="24"/>
        </w:rPr>
      </w:pPr>
      <w:r w:rsidRPr="009204C9">
        <w:rPr>
          <w:rFonts w:cs="Times New Roman"/>
          <w:szCs w:val="24"/>
        </w:rPr>
        <w:t>Andrew Bacon</w:t>
      </w:r>
    </w:p>
    <w:p w14:paraId="16209615" w14:textId="77777777" w:rsidR="009204C9" w:rsidRPr="009204C9" w:rsidRDefault="009204C9" w:rsidP="009204C9">
      <w:pPr>
        <w:spacing w:after="240"/>
        <w:jc w:val="center"/>
        <w:rPr>
          <w:rFonts w:cs="Times New Roman"/>
          <w:szCs w:val="24"/>
        </w:rPr>
      </w:pPr>
      <w:r w:rsidRPr="009204C9">
        <w:rPr>
          <w:rFonts w:cs="Times New Roman"/>
          <w:szCs w:val="24"/>
        </w:rPr>
        <w:t>Northeastern University</w:t>
      </w:r>
    </w:p>
    <w:p w14:paraId="1F93C5CD" w14:textId="77777777" w:rsidR="00EC3160" w:rsidRDefault="00EC3160" w:rsidP="009204C9">
      <w:pPr>
        <w:spacing w:after="240"/>
        <w:jc w:val="center"/>
        <w:rPr>
          <w:rFonts w:cs="Times New Roman"/>
          <w:szCs w:val="24"/>
        </w:rPr>
      </w:pPr>
    </w:p>
    <w:p w14:paraId="006D296C" w14:textId="77777777" w:rsidR="00EC3160" w:rsidRPr="00EC3160" w:rsidRDefault="00EC3160" w:rsidP="00EC3160">
      <w:pPr>
        <w:spacing w:after="240"/>
        <w:jc w:val="center"/>
        <w:rPr>
          <w:rFonts w:cs="Times New Roman"/>
          <w:szCs w:val="24"/>
        </w:rPr>
      </w:pPr>
      <w:r w:rsidRPr="00EC3160">
        <w:rPr>
          <w:rFonts w:cs="Times New Roman"/>
          <w:szCs w:val="24"/>
        </w:rPr>
        <w:t>NPM 6150: Human Resource Management in Nonprofit Organizations</w:t>
      </w:r>
    </w:p>
    <w:p w14:paraId="3234B75F" w14:textId="18453A24" w:rsidR="003A7C70" w:rsidRDefault="001E0C68" w:rsidP="009204C9">
      <w:pPr>
        <w:spacing w:after="240"/>
        <w:jc w:val="center"/>
        <w:rPr>
          <w:rFonts w:cs="Times New Roman"/>
          <w:szCs w:val="24"/>
        </w:rPr>
      </w:pPr>
      <w:r w:rsidRPr="001E0C68">
        <w:rPr>
          <w:rFonts w:cs="Times New Roman"/>
          <w:szCs w:val="24"/>
        </w:rPr>
        <w:t>Marian Walsh, M.T.S., J.D.</w:t>
      </w:r>
    </w:p>
    <w:p w14:paraId="281EACDE" w14:textId="77777777" w:rsidR="001E0C68" w:rsidRDefault="001E0C68" w:rsidP="009204C9">
      <w:pPr>
        <w:spacing w:after="240"/>
        <w:jc w:val="center"/>
        <w:rPr>
          <w:rFonts w:cs="Times New Roman"/>
          <w:szCs w:val="24"/>
        </w:rPr>
      </w:pPr>
    </w:p>
    <w:p w14:paraId="26F31223" w14:textId="67293074" w:rsidR="00851D26" w:rsidRDefault="009204C9" w:rsidP="009204C9">
      <w:pPr>
        <w:spacing w:after="240"/>
        <w:jc w:val="center"/>
        <w:rPr>
          <w:rFonts w:cs="Times New Roman"/>
          <w:szCs w:val="24"/>
        </w:rPr>
      </w:pPr>
      <w:r w:rsidRPr="009204C9">
        <w:rPr>
          <w:rFonts w:cs="Times New Roman"/>
          <w:szCs w:val="24"/>
        </w:rPr>
        <w:t>June 25, 2026</w:t>
      </w:r>
    </w:p>
    <w:p w14:paraId="3A73298C" w14:textId="77777777" w:rsidR="00851D26" w:rsidRDefault="00851D26">
      <w:pPr>
        <w:rPr>
          <w:rFonts w:cs="Times New Roman"/>
          <w:szCs w:val="24"/>
        </w:rPr>
      </w:pPr>
      <w:r>
        <w:rPr>
          <w:rFonts w:cs="Times New Roman"/>
          <w:szCs w:val="24"/>
        </w:rPr>
        <w:br w:type="page"/>
      </w:r>
    </w:p>
    <w:p w14:paraId="115AB17F" w14:textId="77777777" w:rsidR="00C07EFB" w:rsidRPr="007D25D0" w:rsidRDefault="00C07EFB" w:rsidP="00C07EFB">
      <w:pPr>
        <w:spacing w:after="240"/>
        <w:rPr>
          <w:rFonts w:cs="Times New Roman"/>
          <w:b/>
          <w:bCs/>
          <w:szCs w:val="24"/>
        </w:rPr>
      </w:pPr>
      <w:r w:rsidRPr="007D25D0">
        <w:rPr>
          <w:rFonts w:cs="Times New Roman"/>
          <w:b/>
          <w:bCs/>
          <w:szCs w:val="24"/>
        </w:rPr>
        <w:lastRenderedPageBreak/>
        <w:t>Introduction</w:t>
      </w:r>
    </w:p>
    <w:p w14:paraId="71C3D92F" w14:textId="1D701247" w:rsidR="000D73B7" w:rsidRDefault="002C0472" w:rsidP="002C0472">
      <w:r w:rsidRPr="002C0472">
        <w:t>Brian Young is the Founder and Executive Director of Action Network, a progressive organizing technology organization he has led since 2013. Action Network operates as a three-entity structure: Action Network itself is a 501(c)(4) focused on training and education, Action Squared Inc. is a for-profit subsidiary that builds and owns the technology, and Action Network Fund is a 501(c)(3) focused on organizing strategy and capacity building.</w:t>
      </w:r>
      <w:r w:rsidR="00B607FC">
        <w:t xml:space="preserve"> As someone who has worked </w:t>
      </w:r>
      <w:r w:rsidR="000D73B7">
        <w:t xml:space="preserve">as a consultant </w:t>
      </w:r>
      <w:r w:rsidR="00B607FC">
        <w:t xml:space="preserve">on political campaigns in the past, </w:t>
      </w:r>
      <w:r w:rsidR="006200A0">
        <w:t xml:space="preserve">in Tacoma, Seattle, Pierce County, and </w:t>
      </w:r>
      <w:r w:rsidR="0089357F">
        <w:t>federal offices in Washington State,</w:t>
      </w:r>
      <w:r w:rsidR="00872386">
        <w:t xml:space="preserve"> as well as having worked in digital communications and information technology,</w:t>
      </w:r>
      <w:r w:rsidR="000D73B7">
        <w:t xml:space="preserve"> I was generally familiar</w:t>
      </w:r>
      <w:r w:rsidR="00872386">
        <w:t xml:space="preserve"> with both the industry and the business model at Action Network, which I felt would give me the opportunity for an unobstructed </w:t>
      </w:r>
      <w:r w:rsidR="007D0B95">
        <w:t>view of</w:t>
      </w:r>
      <w:r w:rsidR="00872386">
        <w:t xml:space="preserve"> the human resources management perspective</w:t>
      </w:r>
      <w:r w:rsidR="007D0B95">
        <w:t xml:space="preserve"> without needing to be brought up to speed on either.</w:t>
      </w:r>
    </w:p>
    <w:p w14:paraId="6D9DF940" w14:textId="6E41EA3B" w:rsidR="002C0472" w:rsidRPr="002C0472" w:rsidRDefault="002C0472" w:rsidP="002C0472">
      <w:r w:rsidRPr="002C0472">
        <w:t>Young described the nonprofit structure as a practical necessity</w:t>
      </w:r>
      <w:r w:rsidR="00FE7C36">
        <w:t>. The</w:t>
      </w:r>
      <w:r w:rsidRPr="002C0472">
        <w:t xml:space="preserve"> work Action Network does </w:t>
      </w:r>
      <w:r w:rsidR="00107160">
        <w:t xml:space="preserve">will </w:t>
      </w:r>
      <w:r w:rsidRPr="002C0472">
        <w:t xml:space="preserve">not support </w:t>
      </w:r>
      <w:r w:rsidR="00107160">
        <w:t xml:space="preserve">a return on investment sufficient to warrant </w:t>
      </w:r>
      <w:r w:rsidR="00911F59">
        <w:t xml:space="preserve">a typical venture capitalist or investor approach – the returns </w:t>
      </w:r>
      <w:r w:rsidR="00FE7C36">
        <w:t xml:space="preserve">investors would expect </w:t>
      </w:r>
      <w:r w:rsidR="00911F59">
        <w:t>simply are not available in their model</w:t>
      </w:r>
      <w:r w:rsidR="00FE7C36">
        <w:t xml:space="preserve">, </w:t>
      </w:r>
      <w:r w:rsidRPr="002C0472">
        <w:t>so the mission dictate</w:t>
      </w:r>
      <w:r w:rsidR="00B607FC">
        <w:t>d</w:t>
      </w:r>
      <w:r w:rsidRPr="002C0472">
        <w:t xml:space="preserve"> the organizational form. </w:t>
      </w:r>
      <w:r w:rsidR="00E64C50">
        <w:t xml:space="preserve">Additionally, the seed money for this software company was provided by a union as a donation, so this structure was necessary to preserve that intent and avoid unwarranted tax liability. </w:t>
      </w:r>
      <w:r w:rsidRPr="002C0472">
        <w:t>This structure, and the reasoning behind it, set the context for a</w:t>
      </w:r>
      <w:r w:rsidR="0037600B">
        <w:t xml:space="preserve"> look into an organization that does not represent a conventional human resources management </w:t>
      </w:r>
      <w:r w:rsidR="00107160">
        <w:t xml:space="preserve">situation. </w:t>
      </w:r>
    </w:p>
    <w:p w14:paraId="5072B8FB" w14:textId="6BE870D2" w:rsidR="00B75E97" w:rsidRPr="007D25D0" w:rsidRDefault="00B75E97" w:rsidP="002C0472">
      <w:pPr>
        <w:rPr>
          <w:b/>
          <w:bCs/>
        </w:rPr>
      </w:pPr>
      <w:r w:rsidRPr="007D25D0">
        <w:rPr>
          <w:b/>
          <w:bCs/>
        </w:rPr>
        <w:t xml:space="preserve">HR Without a Dedicated </w:t>
      </w:r>
      <w:r w:rsidR="00D5784E" w:rsidRPr="007D25D0">
        <w:rPr>
          <w:b/>
          <w:bCs/>
        </w:rPr>
        <w:t>HR</w:t>
      </w:r>
      <w:r w:rsidR="008E06BB" w:rsidRPr="007D25D0">
        <w:rPr>
          <w:b/>
          <w:bCs/>
        </w:rPr>
        <w:t xml:space="preserve"> </w:t>
      </w:r>
      <w:r w:rsidRPr="007D25D0">
        <w:rPr>
          <w:b/>
          <w:bCs/>
        </w:rPr>
        <w:t>Department</w:t>
      </w:r>
    </w:p>
    <w:p w14:paraId="60700DCD" w14:textId="144991CF" w:rsidR="002C0472" w:rsidRPr="002C0472" w:rsidRDefault="002C0472" w:rsidP="002C0472">
      <w:r w:rsidRPr="002C0472">
        <w:t xml:space="preserve">Action Network operates with a fully remote workforce spread across multiple states. Young identified state-by-state compliance as one of the </w:t>
      </w:r>
      <w:r w:rsidR="00D5784E">
        <w:t xml:space="preserve">more challenging </w:t>
      </w:r>
      <w:r w:rsidRPr="002C0472">
        <w:t xml:space="preserve">ongoing HR </w:t>
      </w:r>
      <w:r w:rsidR="00D5784E">
        <w:t>requirements</w:t>
      </w:r>
      <w:r w:rsidRPr="002C0472">
        <w:t xml:space="preserve"> the </w:t>
      </w:r>
      <w:r w:rsidRPr="002C0472">
        <w:lastRenderedPageBreak/>
        <w:t xml:space="preserve">organization faces. With no dedicated HR staff, compliance responsibilities fall to </w:t>
      </w:r>
      <w:r w:rsidR="00D5784E">
        <w:t xml:space="preserve">various personnel within management and leadership, </w:t>
      </w:r>
      <w:r w:rsidR="00857E11">
        <w:t>which is certainly familiar to me, as a manager in a small organization</w:t>
      </w:r>
      <w:r w:rsidR="00BF49AA">
        <w:t>.</w:t>
      </w:r>
      <w:r w:rsidR="00857E11">
        <w:t xml:space="preserve"> </w:t>
      </w:r>
      <w:r w:rsidR="00BF49AA">
        <w:t>H</w:t>
      </w:r>
      <w:r w:rsidRPr="002C0472">
        <w:t xml:space="preserve">uman resources planning is the process of analyzing and identifying the need for and availability of human resources to meet the organization's objectives (Pynes, 2013, p. 49). For Action Network, </w:t>
      </w:r>
      <w:r w:rsidR="00C54B83">
        <w:t xml:space="preserve">as well as in many smaller organizations, </w:t>
      </w:r>
      <w:r w:rsidRPr="002C0472">
        <w:t xml:space="preserve">that planning </w:t>
      </w:r>
      <w:r w:rsidR="00C54B83">
        <w:t xml:space="preserve">tends to be informal, </w:t>
      </w:r>
      <w:r w:rsidR="00DD0E35">
        <w:t xml:space="preserve">while generally making sure that it is intentional and </w:t>
      </w:r>
      <w:r w:rsidRPr="002C0472">
        <w:t>driven by mission alignment</w:t>
      </w:r>
      <w:r w:rsidR="00696CFB">
        <w:t>. These smaller departments develop more organically and less like “</w:t>
      </w:r>
      <w:r w:rsidRPr="002C0472">
        <w:t>formal</w:t>
      </w:r>
      <w:r w:rsidR="00696CFB">
        <w:t>”</w:t>
      </w:r>
      <w:r w:rsidRPr="002C0472">
        <w:t xml:space="preserve"> HR infrastructure</w:t>
      </w:r>
      <w:r w:rsidR="00696CFB">
        <w:t>, but their responsibilities are the same</w:t>
      </w:r>
      <w:r w:rsidRPr="002C0472">
        <w:t>.</w:t>
      </w:r>
    </w:p>
    <w:p w14:paraId="636274CB" w14:textId="1154EF14" w:rsidR="00EE74CD" w:rsidRDefault="002C0472" w:rsidP="002C0472">
      <w:r w:rsidRPr="002C0472">
        <w:t xml:space="preserve">Young's description of the organization's HR approach </w:t>
      </w:r>
      <w:r w:rsidR="00A16959">
        <w:t xml:space="preserve">included specific, conscious </w:t>
      </w:r>
      <w:r w:rsidR="00903F5F">
        <w:t xml:space="preserve">management of the </w:t>
      </w:r>
      <w:r w:rsidRPr="002C0472">
        <w:t xml:space="preserve">relationship between </w:t>
      </w:r>
      <w:r w:rsidR="00903F5F">
        <w:t xml:space="preserve">the organization’s </w:t>
      </w:r>
      <w:r w:rsidRPr="002C0472">
        <w:t xml:space="preserve">culture and </w:t>
      </w:r>
      <w:r w:rsidR="00903F5F">
        <w:t>human resources policy</w:t>
      </w:r>
      <w:r w:rsidRPr="002C0472">
        <w:t xml:space="preserve">. </w:t>
      </w:r>
      <w:r w:rsidR="00903F5F">
        <w:t>Like many other non-pr</w:t>
      </w:r>
      <w:r w:rsidR="00BD4FDE">
        <w:t xml:space="preserve">ofit organizations, and especially those </w:t>
      </w:r>
      <w:r w:rsidRPr="002C0472">
        <w:t>operat</w:t>
      </w:r>
      <w:r w:rsidR="00BD4FDE">
        <w:t>ing</w:t>
      </w:r>
      <w:r w:rsidRPr="002C0472">
        <w:t xml:space="preserve"> in the progressive political space, </w:t>
      </w:r>
      <w:r w:rsidR="00BD4FDE">
        <w:t xml:space="preserve">there are enhanced human resources expectations, </w:t>
      </w:r>
      <w:r w:rsidR="003F7E63">
        <w:t>which come from client organizations and personnel, and from employees and contractors working directly for the organization.</w:t>
      </w:r>
      <w:r w:rsidRPr="002C0472">
        <w:t xml:space="preserve"> </w:t>
      </w:r>
      <w:r w:rsidR="003F7E63">
        <w:t xml:space="preserve">People associated with an organization in this space expect </w:t>
      </w:r>
      <w:r w:rsidR="00E45379">
        <w:t>t</w:t>
      </w:r>
      <w:r w:rsidRPr="002C0472">
        <w:t xml:space="preserve">he organization's stated values around </w:t>
      </w:r>
      <w:r w:rsidR="00E45379">
        <w:t xml:space="preserve">diversity, </w:t>
      </w:r>
      <w:r w:rsidRPr="002C0472">
        <w:t xml:space="preserve">equity, inclusion, </w:t>
      </w:r>
      <w:r w:rsidR="00E45379">
        <w:t xml:space="preserve">fairness, </w:t>
      </w:r>
      <w:r w:rsidRPr="002C0472">
        <w:t xml:space="preserve">and worker dignity not </w:t>
      </w:r>
      <w:r w:rsidR="00E45379">
        <w:t xml:space="preserve">to be </w:t>
      </w:r>
      <w:r w:rsidRPr="002C0472">
        <w:t>aspirational</w:t>
      </w:r>
      <w:r w:rsidR="00E45379">
        <w:t xml:space="preserve">, but to be genuinely </w:t>
      </w:r>
      <w:r w:rsidRPr="002C0472">
        <w:t>operational</w:t>
      </w:r>
      <w:r w:rsidR="00E45379">
        <w:t>ized</w:t>
      </w:r>
      <w:r w:rsidR="00EE74CD">
        <w:t xml:space="preserve"> with integrity of purpose and action</w:t>
      </w:r>
      <w:r w:rsidRPr="002C0472">
        <w:t>.</w:t>
      </w:r>
      <w:r w:rsidR="00EE74CD">
        <w:t xml:space="preserve"> </w:t>
      </w:r>
      <w:r w:rsidR="0032699B">
        <w:t>It is expected that these kinds of organizations “walk the</w:t>
      </w:r>
      <w:r w:rsidR="0079068D">
        <w:t>ir</w:t>
      </w:r>
      <w:r w:rsidR="0032699B">
        <w:t xml:space="preserve"> talk”, and treat their employees according to the philosophies they espouse in their public work. </w:t>
      </w:r>
    </w:p>
    <w:p w14:paraId="505BFC0A" w14:textId="28344DAA" w:rsidR="00261216" w:rsidRPr="00261216" w:rsidRDefault="00261216" w:rsidP="002C0472">
      <w:pPr>
        <w:rPr>
          <w:b/>
          <w:bCs/>
        </w:rPr>
      </w:pPr>
      <w:r w:rsidRPr="00261216">
        <w:rPr>
          <w:b/>
          <w:bCs/>
        </w:rPr>
        <w:t>DEI and Union Partnership</w:t>
      </w:r>
    </w:p>
    <w:p w14:paraId="56371969" w14:textId="7DE3AA46" w:rsidR="00B958D1" w:rsidRDefault="002C0472" w:rsidP="002C0472">
      <w:r w:rsidRPr="002C0472">
        <w:t xml:space="preserve">Young described DEI </w:t>
      </w:r>
      <w:proofErr w:type="gramStart"/>
      <w:r w:rsidRPr="002C0472">
        <w:t xml:space="preserve">not </w:t>
      </w:r>
      <w:r w:rsidR="008E06BB">
        <w:t>primarily</w:t>
      </w:r>
      <w:proofErr w:type="gramEnd"/>
      <w:r w:rsidR="008E06BB">
        <w:t xml:space="preserve"> as a written policy, </w:t>
      </w:r>
      <w:r w:rsidR="002C3E3B">
        <w:t>but as an implemented</w:t>
      </w:r>
      <w:r w:rsidR="00974EAD">
        <w:t xml:space="preserve"> practical </w:t>
      </w:r>
      <w:r w:rsidR="002C3E3B">
        <w:t xml:space="preserve"> commitment</w:t>
      </w:r>
      <w:r w:rsidR="008F5A09">
        <w:t xml:space="preserve">, </w:t>
      </w:r>
      <w:r w:rsidR="00A22580">
        <w:t xml:space="preserve">defined by and </w:t>
      </w:r>
      <w:r w:rsidR="00770E21">
        <w:t>backstopped</w:t>
      </w:r>
      <w:r w:rsidR="00A22580">
        <w:t xml:space="preserve"> by, an official written policy.</w:t>
      </w:r>
      <w:r w:rsidR="002C3E3B">
        <w:t xml:space="preserve"> </w:t>
      </w:r>
      <w:r w:rsidR="008D1520">
        <w:t xml:space="preserve">Action Network proactively pursues diversity in their hiring practices, and work to ensure that the power and influence in the organization </w:t>
      </w:r>
      <w:r w:rsidR="00B2286F">
        <w:t xml:space="preserve">is vested in the </w:t>
      </w:r>
      <w:r w:rsidR="00356CAA">
        <w:t>positions</w:t>
      </w:r>
      <w:r w:rsidR="00B2286F">
        <w:t xml:space="preserve"> held by people,</w:t>
      </w:r>
      <w:r w:rsidR="00356CAA">
        <w:t xml:space="preserve"> so that diversity </w:t>
      </w:r>
      <w:r w:rsidR="007A5E15">
        <w:t>achieves</w:t>
      </w:r>
      <w:r w:rsidR="00356CAA">
        <w:t xml:space="preserve"> </w:t>
      </w:r>
      <w:r w:rsidR="00356CAA">
        <w:lastRenderedPageBreak/>
        <w:t xml:space="preserve">more than </w:t>
      </w:r>
      <w:r w:rsidR="007A5E15">
        <w:t xml:space="preserve">tokenism, while at the same time recognizing that </w:t>
      </w:r>
      <w:r w:rsidR="000567B3">
        <w:t>not every person can possibly have the same influence over what happens at an organization with a power structure.</w:t>
      </w:r>
      <w:r w:rsidRPr="002C0472">
        <w:t xml:space="preserve"> </w:t>
      </w:r>
      <w:r w:rsidR="000567B3">
        <w:t>Human resources p</w:t>
      </w:r>
      <w:r w:rsidRPr="002C0472">
        <w:t>olicies</w:t>
      </w:r>
      <w:r w:rsidR="000567B3">
        <w:t xml:space="preserve">, including </w:t>
      </w:r>
      <w:r w:rsidR="00B958D1">
        <w:t xml:space="preserve">DEI policies, </w:t>
      </w:r>
      <w:r w:rsidRPr="002C0472">
        <w:t>are treated as living documents rather than fixed rules</w:t>
      </w:r>
      <w:r w:rsidR="00B958D1">
        <w:t>, allowing them to change and grow as needs and requirements change</w:t>
      </w:r>
      <w:r w:rsidRPr="002C0472">
        <w:t xml:space="preserve">. </w:t>
      </w:r>
    </w:p>
    <w:p w14:paraId="45CE4D8F" w14:textId="5F74C859" w:rsidR="002C0472" w:rsidRPr="002C0472" w:rsidRDefault="000A108C" w:rsidP="002C0472">
      <w:r>
        <w:t xml:space="preserve">To back up the idea that non-profit organizations generally hold themselves to higher standards in all areas, </w:t>
      </w:r>
      <w:r w:rsidR="002C0472" w:rsidRPr="002C0472">
        <w:t>Pynes addresses the importance of diversity and inclusion as strategic priorities in nonprofit organizations, noting that effective HR practices must reflect the organization's broader mission and values (Pynes, 2013, p. 378). At Action Network,</w:t>
      </w:r>
      <w:r w:rsidR="0088578C">
        <w:t xml:space="preserve"> they are dedicated and appear to do a particularly good job of aligning </w:t>
      </w:r>
      <w:r w:rsidR="002C0472" w:rsidRPr="002C0472">
        <w:t>the outward mission and the internal culture</w:t>
      </w:r>
      <w:r w:rsidR="00AF7F1D">
        <w:t xml:space="preserve">. </w:t>
      </w:r>
      <w:r w:rsidR="002C0472" w:rsidRPr="002C0472">
        <w:t>Young</w:t>
      </w:r>
      <w:r w:rsidR="00AF7F1D">
        <w:t xml:space="preserve"> explicitly </w:t>
      </w:r>
      <w:r w:rsidR="002C0472" w:rsidRPr="002C0472">
        <w:t>described that alignment as a non-negotiable</w:t>
      </w:r>
      <w:r w:rsidR="00AF7F1D">
        <w:t xml:space="preserve"> element of the way Action Network operates</w:t>
      </w:r>
      <w:r w:rsidR="002C0472" w:rsidRPr="002C0472">
        <w:t>.</w:t>
      </w:r>
    </w:p>
    <w:p w14:paraId="06194167" w14:textId="77777777" w:rsidR="00860975" w:rsidRDefault="002C0472" w:rsidP="002C0472">
      <w:r w:rsidRPr="002C0472">
        <w:t xml:space="preserve">The organization's relationship with its union was </w:t>
      </w:r>
      <w:r w:rsidR="00D33C0E">
        <w:t xml:space="preserve">of particular interest and demonstrates </w:t>
      </w:r>
      <w:r w:rsidRPr="002C0472">
        <w:t xml:space="preserve">one of the more striking </w:t>
      </w:r>
      <w:r w:rsidR="00D33C0E">
        <w:t>ways that Action Network has decided to “walk their talk”. As a company that was originally constructed with resources provided by a union</w:t>
      </w:r>
      <w:r w:rsidR="00644CC8">
        <w:t xml:space="preserve">, being a “union shop” was not optional. Because the union relationship was built into the structure of Action Network from the very beginning, </w:t>
      </w:r>
      <w:r w:rsidRPr="002C0472">
        <w:t xml:space="preserve">the </w:t>
      </w:r>
      <w:r w:rsidR="00BB06B4">
        <w:t xml:space="preserve">relationship is non-adversarial. The </w:t>
      </w:r>
      <w:r w:rsidRPr="002C0472">
        <w:t xml:space="preserve">union </w:t>
      </w:r>
      <w:r w:rsidR="00644CC8">
        <w:t xml:space="preserve">does not </w:t>
      </w:r>
      <w:r w:rsidR="00BB06B4">
        <w:t>work for</w:t>
      </w:r>
      <w:r w:rsidR="00644CC8">
        <w:t xml:space="preserve"> concessions for employees at whatever cost, and the organization </w:t>
      </w:r>
      <w:r w:rsidR="00BB06B4">
        <w:t xml:space="preserve">does not reflexively oppose </w:t>
      </w:r>
      <w:r w:rsidR="00D47651">
        <w:t xml:space="preserve">changes that benefit employees as a zero sum loss. </w:t>
      </w:r>
      <w:r w:rsidRPr="002C0472">
        <w:t>Young described the union relationship as a communications and partnership vehicle</w:t>
      </w:r>
      <w:r w:rsidR="00D47651">
        <w:t xml:space="preserve">, which is not the way we usually hear about </w:t>
      </w:r>
      <w:r w:rsidRPr="002C0472">
        <w:t xml:space="preserve">labor-management relations. </w:t>
      </w:r>
    </w:p>
    <w:p w14:paraId="168249DB" w14:textId="2278460A" w:rsidR="002C0472" w:rsidRDefault="002C0472" w:rsidP="002C0472">
      <w:r w:rsidRPr="002C0472">
        <w:t xml:space="preserve">Pynes describes the history of labor-management relations in nonprofits as complex and often contentious, with unions historically viewed as a check on management authority (Pynes, 2013, p. 342). Young's approach </w:t>
      </w:r>
      <w:r w:rsidR="00860975">
        <w:t xml:space="preserve">at Action Network </w:t>
      </w:r>
      <w:r w:rsidRPr="002C0472">
        <w:t>inverts that framing</w:t>
      </w:r>
      <w:r w:rsidR="00860975">
        <w:t xml:space="preserve"> and avoids </w:t>
      </w:r>
      <w:r w:rsidR="000E524F">
        <w:t xml:space="preserve">the atmosphere of </w:t>
      </w:r>
      <w:r w:rsidR="000E524F">
        <w:lastRenderedPageBreak/>
        <w:t xml:space="preserve">opposition and struggle </w:t>
      </w:r>
      <w:r w:rsidRPr="002C0472">
        <w:t xml:space="preserve">entirely. The union, in his description, functions as a structural mechanism for </w:t>
      </w:r>
      <w:r w:rsidR="000E524F">
        <w:t xml:space="preserve">communication, organization, and </w:t>
      </w:r>
      <w:r w:rsidR="00D3294E">
        <w:t>connection</w:t>
      </w:r>
      <w:r w:rsidR="00047FC4">
        <w:t>. Its work</w:t>
      </w:r>
      <w:r w:rsidR="00D3294E">
        <w:t xml:space="preserve"> helps establish a unified front between management and employees</w:t>
      </w:r>
      <w:r w:rsidR="00047FC4">
        <w:t xml:space="preserve">, </w:t>
      </w:r>
      <w:r w:rsidRPr="002C0472">
        <w:t xml:space="preserve">ensuring that the organization's values are maintained in </w:t>
      </w:r>
      <w:r w:rsidR="00183B71">
        <w:t xml:space="preserve">everyday employment </w:t>
      </w:r>
      <w:r w:rsidRPr="002C0472">
        <w:t xml:space="preserve">practice, not just in </w:t>
      </w:r>
      <w:r w:rsidR="00183B71">
        <w:t xml:space="preserve">written </w:t>
      </w:r>
      <w:r w:rsidRPr="002C0472">
        <w:t xml:space="preserve">policy. </w:t>
      </w:r>
      <w:r w:rsidR="00B2692A">
        <w:t xml:space="preserve">Their example puts the lie to the idea that relationships between organizations and employees must necessarily be contentious, and the </w:t>
      </w:r>
      <w:r w:rsidRPr="002C0472">
        <w:t xml:space="preserve">reframing </w:t>
      </w:r>
      <w:r w:rsidR="00B2692A">
        <w:t xml:space="preserve">of the union relationship </w:t>
      </w:r>
      <w:r w:rsidRPr="002C0472">
        <w:t xml:space="preserve">struck me as both practically useful and philosophically coherent for an organization whose external mission is built around collective </w:t>
      </w:r>
      <w:r w:rsidR="00122150">
        <w:t xml:space="preserve">political </w:t>
      </w:r>
      <w:r w:rsidRPr="002C0472">
        <w:t>action</w:t>
      </w:r>
      <w:r w:rsidR="00122150">
        <w:t xml:space="preserve"> on behalf of the quality of life </w:t>
      </w:r>
      <w:r w:rsidR="00D076F8">
        <w:t>for everyone</w:t>
      </w:r>
      <w:r w:rsidRPr="002C0472">
        <w:t>.</w:t>
      </w:r>
      <w:r w:rsidR="00047FC4">
        <w:t xml:space="preserve"> As </w:t>
      </w:r>
      <w:r w:rsidR="00047FC4" w:rsidRPr="00047FC4">
        <w:t>Pynes notes</w:t>
      </w:r>
      <w:r w:rsidR="00330B65">
        <w:t xml:space="preserve">, </w:t>
      </w:r>
      <w:r w:rsidR="00047FC4" w:rsidRPr="00047FC4">
        <w:t>while many employers resist union recognition, others appreciate the continuity and stability that collective bargaining can bring to an organization (Pynes, 2013, p. 341). Young's approach at Action Network reflects exactly that</w:t>
      </w:r>
      <w:r w:rsidR="00330B65">
        <w:t>.</w:t>
      </w:r>
    </w:p>
    <w:p w14:paraId="021FFE5D" w14:textId="77777777" w:rsidR="00261216" w:rsidRDefault="00261216" w:rsidP="002C0472">
      <w:pPr>
        <w:rPr>
          <w:b/>
          <w:bCs/>
        </w:rPr>
      </w:pPr>
      <w:r w:rsidRPr="00261216">
        <w:rPr>
          <w:b/>
          <w:bCs/>
        </w:rPr>
        <w:t>Performance, Integrity, and the Cost of Misalignment</w:t>
      </w:r>
    </w:p>
    <w:p w14:paraId="4B4CD540" w14:textId="347F872D" w:rsidR="00AB452C" w:rsidRDefault="002C0472" w:rsidP="002C0472">
      <w:r w:rsidRPr="002C0472">
        <w:t xml:space="preserve">The most </w:t>
      </w:r>
      <w:r w:rsidR="00D076F8">
        <w:t xml:space="preserve">specifically </w:t>
      </w:r>
      <w:r w:rsidRPr="002C0472">
        <w:t>instructive moment of the interview came from a</w:t>
      </w:r>
      <w:r w:rsidR="00D076F8">
        <w:t xml:space="preserve"> communications and </w:t>
      </w:r>
      <w:r w:rsidRPr="002C0472">
        <w:t>operational failure. A new COO had implemented changes to the performance review process</w:t>
      </w:r>
      <w:r w:rsidR="00D076F8">
        <w:t xml:space="preserve">, implementing </w:t>
      </w:r>
      <w:r w:rsidR="008F5878">
        <w:t xml:space="preserve">individual performance reviews – one manager, one employee – and had done so </w:t>
      </w:r>
      <w:r w:rsidRPr="002C0472">
        <w:t xml:space="preserve"> without </w:t>
      </w:r>
      <w:r w:rsidR="008F5878">
        <w:t xml:space="preserve">soliciting employee support, or achieving </w:t>
      </w:r>
      <w:r w:rsidRPr="002C0472">
        <w:t>adequate employee buy-in.</w:t>
      </w:r>
      <w:r w:rsidR="008F5878">
        <w:t xml:space="preserve"> This resulted in </w:t>
      </w:r>
      <w:r w:rsidR="00ED55BB">
        <w:t xml:space="preserve">organized opposition to the new policy, the scope of which </w:t>
      </w:r>
      <w:r w:rsidR="00AB452C">
        <w:t xml:space="preserve">went beyond </w:t>
      </w:r>
      <w:r w:rsidRPr="002C0472">
        <w:t xml:space="preserve">performance reviews </w:t>
      </w:r>
      <w:r w:rsidR="00AB452C">
        <w:t>and became a proxy</w:t>
      </w:r>
      <w:r w:rsidR="00A049F2">
        <w:t xml:space="preserve"> for</w:t>
      </w:r>
      <w:r w:rsidR="00AB452C">
        <w:t xml:space="preserve"> </w:t>
      </w:r>
      <w:r w:rsidRPr="002C0472">
        <w:t>broader dissatisfaction with how the organization was being managed.</w:t>
      </w:r>
    </w:p>
    <w:p w14:paraId="0E610B05" w14:textId="139F6AC4" w:rsidR="00EE0F86" w:rsidRDefault="00EE0F86" w:rsidP="002C0472">
      <w:r w:rsidRPr="00EE0F86">
        <w:t>Pynes addresses the role of strategic HR in supporting organizational mission, noting that HR systems must be aligned with the overall direction and values of the organization (Pynes, 2013, p. 43). The COO situation at Action Network is a case study in what happens when that alignment breaks down.</w:t>
      </w:r>
    </w:p>
    <w:p w14:paraId="22DABAD0" w14:textId="608AEFEC" w:rsidR="002105B8" w:rsidRDefault="002C0472" w:rsidP="002C0472">
      <w:r w:rsidRPr="002C0472">
        <w:lastRenderedPageBreak/>
        <w:t>Young's analysis of that situation was direct</w:t>
      </w:r>
      <w:r w:rsidR="00467B7F">
        <w:t>, and matched Pynes’ conclusion precisely</w:t>
      </w:r>
      <w:r w:rsidRPr="002C0472">
        <w:t>: internal culture must reflect outward mission</w:t>
      </w:r>
      <w:r w:rsidR="005230A5">
        <w:t xml:space="preserve">. In this case, collective, collaborative action </w:t>
      </w:r>
      <w:r w:rsidR="00126974">
        <w:t xml:space="preserve">is an outbound value, and must be effectively represented internally as well. When this is not achieved, </w:t>
      </w:r>
      <w:r w:rsidRPr="002C0472">
        <w:t>the misalignment creates risk</w:t>
      </w:r>
      <w:r w:rsidR="00126974">
        <w:t xml:space="preserve">, and potentially disproportionate </w:t>
      </w:r>
      <w:r w:rsidR="002105B8">
        <w:t xml:space="preserve">problems in the company culture and among employees. </w:t>
      </w:r>
    </w:p>
    <w:p w14:paraId="1F582769" w14:textId="28BE63D1" w:rsidR="002C0472" w:rsidRDefault="002105B8" w:rsidP="002C0472">
      <w:r>
        <w:t>Young a</w:t>
      </w:r>
      <w:r w:rsidR="002C0472" w:rsidRPr="002C0472">
        <w:t xml:space="preserve">lso noted that </w:t>
      </w:r>
      <w:r>
        <w:t xml:space="preserve">agreed-upon </w:t>
      </w:r>
      <w:r w:rsidR="002C0472" w:rsidRPr="002C0472">
        <w:t>facts can reduce emotional friction in HR conversations</w:t>
      </w:r>
      <w:r>
        <w:t xml:space="preserve">, and that </w:t>
      </w:r>
      <w:r w:rsidR="002C0472" w:rsidRPr="002C0472">
        <w:t xml:space="preserve">having reliable financial and operational data available </w:t>
      </w:r>
      <w:r>
        <w:t xml:space="preserve">can </w:t>
      </w:r>
      <w:r w:rsidR="00263362">
        <w:t xml:space="preserve">improve the </w:t>
      </w:r>
      <w:r w:rsidR="002C0472" w:rsidRPr="002C0472">
        <w:t>nature of difficult</w:t>
      </w:r>
      <w:r w:rsidR="00263362">
        <w:t xml:space="preserve"> personal</w:t>
      </w:r>
      <w:r w:rsidR="002C0472" w:rsidRPr="002C0472">
        <w:t xml:space="preserve"> discussions</w:t>
      </w:r>
      <w:r w:rsidR="00263362">
        <w:t xml:space="preserve"> by narrowing at least some of the focus of those conversations to something that can be measured</w:t>
      </w:r>
      <w:r w:rsidR="002C0472" w:rsidRPr="002C0472">
        <w:t xml:space="preserve">. </w:t>
      </w:r>
      <w:r w:rsidR="008B73C1">
        <w:t xml:space="preserve">This drove the answer to a specific question about what </w:t>
      </w:r>
      <w:r w:rsidR="008004B0">
        <w:t xml:space="preserve">he considers to </w:t>
      </w:r>
      <w:r w:rsidR="005C56C6">
        <w:t>b</w:t>
      </w:r>
      <w:r w:rsidR="008004B0">
        <w:t xml:space="preserve">e </w:t>
      </w:r>
      <w:r w:rsidR="008B73C1">
        <w:t xml:space="preserve">the most valuable investment in an early stage non-profit </w:t>
      </w:r>
      <w:r w:rsidR="008004B0">
        <w:t xml:space="preserve">organization: accurate, reliable, unimpeachable </w:t>
      </w:r>
      <w:r w:rsidR="002C0472" w:rsidRPr="002C0472">
        <w:t xml:space="preserve">accounting and bookkeeping </w:t>
      </w:r>
      <w:r w:rsidR="008004B0">
        <w:t xml:space="preserve">systems and practices. Young stated that this data </w:t>
      </w:r>
      <w:r w:rsidR="002C0472" w:rsidRPr="002C0472">
        <w:t xml:space="preserve">pays dividends far beyond </w:t>
      </w:r>
      <w:r w:rsidR="008004B0">
        <w:t xml:space="preserve">simply managing finance, but also </w:t>
      </w:r>
      <w:r w:rsidR="002C0472" w:rsidRPr="002C0472">
        <w:t xml:space="preserve">supports HR conversations, compliance documentation, grant reporting, and organizational decision-making across the board. </w:t>
      </w:r>
    </w:p>
    <w:p w14:paraId="3610236F" w14:textId="41CDBC7F" w:rsidR="009B38D1" w:rsidRPr="009B38D1" w:rsidRDefault="009B38D1" w:rsidP="002C0472">
      <w:pPr>
        <w:rPr>
          <w:b/>
          <w:bCs/>
        </w:rPr>
      </w:pPr>
      <w:r w:rsidRPr="009B38D1">
        <w:rPr>
          <w:b/>
          <w:bCs/>
        </w:rPr>
        <w:t>Observations and Conclusions</w:t>
      </w:r>
    </w:p>
    <w:p w14:paraId="54FB3B31" w14:textId="76CCC30A" w:rsidR="009B38D1" w:rsidRDefault="002C0472" w:rsidP="00330B65">
      <w:r w:rsidRPr="002C0472">
        <w:t>The conversation with Brian Young reinforced something I have been learning through direct experience across my own organizations: HR in nonprofits</w:t>
      </w:r>
      <w:r w:rsidR="00467B7F">
        <w:t>, or in any organization,</w:t>
      </w:r>
      <w:r w:rsidRPr="002C0472">
        <w:t xml:space="preserve"> is not a fixed system. It is, as Young put it, a set of continuously negotiated values</w:t>
      </w:r>
      <w:r w:rsidR="00467B7F">
        <w:t xml:space="preserve"> with documentation to support them</w:t>
      </w:r>
      <w:r w:rsidRPr="002C0472">
        <w:t xml:space="preserve">. The organizations that do it well are the ones where alignment runs from </w:t>
      </w:r>
      <w:r w:rsidR="00D81CF4">
        <w:t xml:space="preserve">one end all the way to the other – from </w:t>
      </w:r>
      <w:r w:rsidRPr="002C0472">
        <w:t>hiring</w:t>
      </w:r>
      <w:r w:rsidR="00D81CF4">
        <w:t>,</w:t>
      </w:r>
      <w:r w:rsidRPr="002C0472">
        <w:t xml:space="preserve"> through daily management</w:t>
      </w:r>
      <w:r w:rsidR="00D81CF4">
        <w:t>,</w:t>
      </w:r>
      <w:r w:rsidRPr="002C0472">
        <w:t xml:space="preserve"> through separation</w:t>
      </w:r>
      <w:r w:rsidR="00D81CF4">
        <w:t>. T</w:t>
      </w:r>
      <w:r w:rsidRPr="002C0472">
        <w:t>he people responsible for HR</w:t>
      </w:r>
      <w:r w:rsidR="00D81CF4">
        <w:t xml:space="preserve">, </w:t>
      </w:r>
      <w:r w:rsidRPr="002C0472">
        <w:t xml:space="preserve">whether </w:t>
      </w:r>
      <w:r w:rsidR="00D81CF4">
        <w:t xml:space="preserve">they belong to a dedicated department, </w:t>
      </w:r>
      <w:r w:rsidR="00214A33">
        <w:t xml:space="preserve">or whether they are </w:t>
      </w:r>
      <w:r w:rsidRPr="002C0472">
        <w:t>a founder wearing six hats</w:t>
      </w:r>
      <w:r w:rsidR="00214A33">
        <w:t xml:space="preserve">, must </w:t>
      </w:r>
      <w:r w:rsidRPr="002C0472">
        <w:t xml:space="preserve">understand that </w:t>
      </w:r>
      <w:r w:rsidR="00214A33">
        <w:t>Human Resources work</w:t>
      </w:r>
      <w:r w:rsidRPr="002C0472">
        <w:t xml:space="preserve"> is fundamentally about people, not </w:t>
      </w:r>
      <w:r w:rsidR="00214A33">
        <w:t xml:space="preserve">tasks, not </w:t>
      </w:r>
      <w:r w:rsidRPr="002C0472">
        <w:t xml:space="preserve">paperwork. Young's </w:t>
      </w:r>
      <w:r w:rsidR="00A675AB">
        <w:t xml:space="preserve">successful implementation of </w:t>
      </w:r>
      <w:r w:rsidRPr="002C0472">
        <w:t xml:space="preserve">informal HR </w:t>
      </w:r>
      <w:r w:rsidRPr="002C0472">
        <w:lastRenderedPageBreak/>
        <w:t>infrastructure</w:t>
      </w:r>
      <w:r w:rsidR="00A675AB">
        <w:t xml:space="preserve"> can work </w:t>
      </w:r>
      <w:r w:rsidRPr="002C0472">
        <w:t>if values are explicit</w:t>
      </w:r>
      <w:r w:rsidR="00A675AB">
        <w:t xml:space="preserve"> a</w:t>
      </w:r>
      <w:r w:rsidR="00AD17EE">
        <w:t>n</w:t>
      </w:r>
      <w:r w:rsidR="00A675AB">
        <w:t xml:space="preserve">d shared. I </w:t>
      </w:r>
      <w:r w:rsidR="008C5F13">
        <w:t xml:space="preserve">found this </w:t>
      </w:r>
      <w:r w:rsidRPr="002C0472">
        <w:t xml:space="preserve">both encouraging and clarifying. </w:t>
      </w:r>
      <w:r w:rsidR="008C5F13">
        <w:t>I</w:t>
      </w:r>
      <w:r w:rsidRPr="002C0472">
        <w:t xml:space="preserve">nfrastructure matters, but it </w:t>
      </w:r>
      <w:r w:rsidR="008C5F13">
        <w:t xml:space="preserve">only exists </w:t>
      </w:r>
      <w:r w:rsidRPr="002C0472">
        <w:t>in service of something larger</w:t>
      </w:r>
      <w:r w:rsidR="008C5F13">
        <w:t xml:space="preserve"> and more important, and more human-centered. My partner and I have always endeavored to </w:t>
      </w:r>
      <w:r w:rsidR="00A74D50">
        <w:t>run our company in this way, and Brian Young’s example is instructive</w:t>
      </w:r>
      <w:r w:rsidR="0076796A">
        <w:t xml:space="preserve">, and the understanding that this is not only possible, but is as good an idea as I thought from the start, </w:t>
      </w:r>
      <w:r w:rsidRPr="002C0472">
        <w:t>is the single most useful thing I took from this interview.</w:t>
      </w:r>
    </w:p>
    <w:p w14:paraId="76E63814" w14:textId="4EE226E7" w:rsidR="002C0472" w:rsidRPr="009B38D1" w:rsidRDefault="002C0472" w:rsidP="002C0472">
      <w:pPr>
        <w:rPr>
          <w:b/>
          <w:bCs/>
        </w:rPr>
      </w:pPr>
      <w:r w:rsidRPr="009B38D1">
        <w:rPr>
          <w:b/>
          <w:bCs/>
        </w:rPr>
        <w:t>References</w:t>
      </w:r>
    </w:p>
    <w:p w14:paraId="73314D64" w14:textId="01569BF4" w:rsidR="00C07EFB" w:rsidRDefault="002C0472" w:rsidP="002C0472">
      <w:r w:rsidRPr="002C0472">
        <w:t>Pynes, J. E. (2013). Human resources management for public and nonprofit organizations: A strategic approach (4th ed.). Jossey-Bass.</w:t>
      </w:r>
    </w:p>
    <w:sectPr w:rsidR="00C07E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enorite">
    <w:charset w:val="00"/>
    <w:family w:val="auto"/>
    <w:pitch w:val="variable"/>
    <w:sig w:usb0="80000003" w:usb1="00000001" w:usb2="00000000" w:usb3="00000000" w:csb0="00000001"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A5D"/>
    <w:rsid w:val="00047FC4"/>
    <w:rsid w:val="00052A5D"/>
    <w:rsid w:val="000567B3"/>
    <w:rsid w:val="000A108C"/>
    <w:rsid w:val="000D73B7"/>
    <w:rsid w:val="000E524F"/>
    <w:rsid w:val="00107160"/>
    <w:rsid w:val="00122150"/>
    <w:rsid w:val="00126974"/>
    <w:rsid w:val="00183B71"/>
    <w:rsid w:val="001E0C68"/>
    <w:rsid w:val="002105B8"/>
    <w:rsid w:val="00214A33"/>
    <w:rsid w:val="00261216"/>
    <w:rsid w:val="00263362"/>
    <w:rsid w:val="002C0472"/>
    <w:rsid w:val="002C3E3B"/>
    <w:rsid w:val="0032699B"/>
    <w:rsid w:val="00330B65"/>
    <w:rsid w:val="00356CAA"/>
    <w:rsid w:val="0037600B"/>
    <w:rsid w:val="003A7C70"/>
    <w:rsid w:val="003C49D2"/>
    <w:rsid w:val="003C6AC7"/>
    <w:rsid w:val="003F7E63"/>
    <w:rsid w:val="00467B7F"/>
    <w:rsid w:val="004B13AD"/>
    <w:rsid w:val="005230A5"/>
    <w:rsid w:val="005B0AB4"/>
    <w:rsid w:val="005C56C6"/>
    <w:rsid w:val="006200A0"/>
    <w:rsid w:val="00644CC8"/>
    <w:rsid w:val="00696CFB"/>
    <w:rsid w:val="007606CF"/>
    <w:rsid w:val="0076796A"/>
    <w:rsid w:val="00770E21"/>
    <w:rsid w:val="0079068D"/>
    <w:rsid w:val="007A5E15"/>
    <w:rsid w:val="007D0B95"/>
    <w:rsid w:val="007D25D0"/>
    <w:rsid w:val="008004B0"/>
    <w:rsid w:val="00851D26"/>
    <w:rsid w:val="00857E11"/>
    <w:rsid w:val="00860975"/>
    <w:rsid w:val="00872386"/>
    <w:rsid w:val="0088578C"/>
    <w:rsid w:val="0089357F"/>
    <w:rsid w:val="008B1650"/>
    <w:rsid w:val="008B73C1"/>
    <w:rsid w:val="008C5F13"/>
    <w:rsid w:val="008D1520"/>
    <w:rsid w:val="008E06BB"/>
    <w:rsid w:val="008F5878"/>
    <w:rsid w:val="008F5A09"/>
    <w:rsid w:val="00903F5F"/>
    <w:rsid w:val="00911F59"/>
    <w:rsid w:val="009204C9"/>
    <w:rsid w:val="00974EAD"/>
    <w:rsid w:val="009B38D1"/>
    <w:rsid w:val="009F4A25"/>
    <w:rsid w:val="00A049F2"/>
    <w:rsid w:val="00A16959"/>
    <w:rsid w:val="00A22580"/>
    <w:rsid w:val="00A675AB"/>
    <w:rsid w:val="00A74D50"/>
    <w:rsid w:val="00AB452C"/>
    <w:rsid w:val="00AD17EE"/>
    <w:rsid w:val="00AF7F1D"/>
    <w:rsid w:val="00B2286F"/>
    <w:rsid w:val="00B2692A"/>
    <w:rsid w:val="00B36D59"/>
    <w:rsid w:val="00B607FC"/>
    <w:rsid w:val="00B75E97"/>
    <w:rsid w:val="00B958D1"/>
    <w:rsid w:val="00BB06B4"/>
    <w:rsid w:val="00BD4FDE"/>
    <w:rsid w:val="00BF49AA"/>
    <w:rsid w:val="00C05C9C"/>
    <w:rsid w:val="00C07EFB"/>
    <w:rsid w:val="00C54B83"/>
    <w:rsid w:val="00CC1560"/>
    <w:rsid w:val="00D02973"/>
    <w:rsid w:val="00D076F8"/>
    <w:rsid w:val="00D3294E"/>
    <w:rsid w:val="00D33C0E"/>
    <w:rsid w:val="00D47651"/>
    <w:rsid w:val="00D5784E"/>
    <w:rsid w:val="00D81CF4"/>
    <w:rsid w:val="00DD0E35"/>
    <w:rsid w:val="00E45379"/>
    <w:rsid w:val="00E64C50"/>
    <w:rsid w:val="00E851B7"/>
    <w:rsid w:val="00EC3160"/>
    <w:rsid w:val="00ED55BB"/>
    <w:rsid w:val="00EE0F86"/>
    <w:rsid w:val="00EE74CD"/>
    <w:rsid w:val="00FE7C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94B52"/>
  <w15:chartTrackingRefBased/>
  <w15:docId w15:val="{18F68CBA-362F-4E97-B883-45BE9C10E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1D26"/>
    <w:pPr>
      <w:spacing w:line="480" w:lineRule="auto"/>
    </w:pPr>
    <w:rPr>
      <w:rFonts w:ascii="Times New Roman" w:hAnsi="Times New Roman"/>
      <w:szCs w:val="22"/>
    </w:rPr>
  </w:style>
  <w:style w:type="paragraph" w:styleId="Heading1">
    <w:name w:val="heading 1"/>
    <w:basedOn w:val="Normal"/>
    <w:next w:val="Normal"/>
    <w:link w:val="Heading1Char"/>
    <w:uiPriority w:val="9"/>
    <w:qFormat/>
    <w:rsid w:val="00C05C9C"/>
    <w:pPr>
      <w:keepNext/>
      <w:keepLines/>
      <w:spacing w:before="360" w:after="80"/>
      <w:outlineLvl w:val="0"/>
    </w:pPr>
    <w:rPr>
      <w:rFonts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606CF"/>
    <w:pPr>
      <w:keepNext/>
      <w:keepLines/>
      <w:spacing w:before="160" w:after="80"/>
      <w:outlineLvl w:val="1"/>
    </w:pPr>
    <w:rPr>
      <w:rFonts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06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06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06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06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06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06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06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5C9C"/>
    <w:rPr>
      <w:rFonts w:ascii="Tenorite" w:eastAsiaTheme="majorEastAsia" w:hAnsi="Tenorite" w:cstheme="majorBidi"/>
      <w:color w:val="0F4761" w:themeColor="accent1" w:themeShade="BF"/>
      <w:sz w:val="40"/>
      <w:szCs w:val="40"/>
    </w:rPr>
  </w:style>
  <w:style w:type="character" w:customStyle="1" w:styleId="Heading2Char">
    <w:name w:val="Heading 2 Char"/>
    <w:basedOn w:val="DefaultParagraphFont"/>
    <w:link w:val="Heading2"/>
    <w:uiPriority w:val="9"/>
    <w:rsid w:val="007606CF"/>
    <w:rPr>
      <w:rFonts w:ascii="Tenorite" w:eastAsiaTheme="majorEastAsia" w:hAnsi="Tenorite"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06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06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06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06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06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06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06CF"/>
    <w:rPr>
      <w:rFonts w:eastAsiaTheme="majorEastAsia" w:cstheme="majorBidi"/>
      <w:color w:val="272727" w:themeColor="text1" w:themeTint="D8"/>
    </w:rPr>
  </w:style>
  <w:style w:type="paragraph" w:styleId="Title">
    <w:name w:val="Title"/>
    <w:basedOn w:val="Normal"/>
    <w:next w:val="Normal"/>
    <w:link w:val="TitleChar"/>
    <w:uiPriority w:val="10"/>
    <w:qFormat/>
    <w:rsid w:val="007606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06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06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06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06CF"/>
    <w:pPr>
      <w:spacing w:before="160"/>
      <w:jc w:val="center"/>
    </w:pPr>
    <w:rPr>
      <w:i/>
      <w:iCs/>
      <w:color w:val="404040" w:themeColor="text1" w:themeTint="BF"/>
    </w:rPr>
  </w:style>
  <w:style w:type="character" w:customStyle="1" w:styleId="QuoteChar">
    <w:name w:val="Quote Char"/>
    <w:basedOn w:val="DefaultParagraphFont"/>
    <w:link w:val="Quote"/>
    <w:uiPriority w:val="29"/>
    <w:rsid w:val="007606CF"/>
    <w:rPr>
      <w:i/>
      <w:iCs/>
      <w:color w:val="404040" w:themeColor="text1" w:themeTint="BF"/>
    </w:rPr>
  </w:style>
  <w:style w:type="paragraph" w:styleId="ListParagraph">
    <w:name w:val="List Paragraph"/>
    <w:basedOn w:val="Normal"/>
    <w:uiPriority w:val="34"/>
    <w:qFormat/>
    <w:rsid w:val="007606CF"/>
    <w:pPr>
      <w:ind w:left="720"/>
      <w:contextualSpacing/>
    </w:pPr>
  </w:style>
  <w:style w:type="character" w:styleId="IntenseEmphasis">
    <w:name w:val="Intense Emphasis"/>
    <w:basedOn w:val="DefaultParagraphFont"/>
    <w:uiPriority w:val="21"/>
    <w:qFormat/>
    <w:rsid w:val="007606CF"/>
    <w:rPr>
      <w:i/>
      <w:iCs/>
      <w:color w:val="0F4761" w:themeColor="accent1" w:themeShade="BF"/>
    </w:rPr>
  </w:style>
  <w:style w:type="paragraph" w:styleId="IntenseQuote">
    <w:name w:val="Intense Quote"/>
    <w:basedOn w:val="Normal"/>
    <w:next w:val="Normal"/>
    <w:link w:val="IntenseQuoteChar"/>
    <w:uiPriority w:val="30"/>
    <w:qFormat/>
    <w:rsid w:val="007606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06CF"/>
    <w:rPr>
      <w:i/>
      <w:iCs/>
      <w:color w:val="0F4761" w:themeColor="accent1" w:themeShade="BF"/>
    </w:rPr>
  </w:style>
  <w:style w:type="character" w:styleId="IntenseReference">
    <w:name w:val="Intense Reference"/>
    <w:basedOn w:val="DefaultParagraphFont"/>
    <w:uiPriority w:val="32"/>
    <w:qFormat/>
    <w:rsid w:val="007606C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1022AF9DD5B548A2611FD0FED010B4" ma:contentTypeVersion="13" ma:contentTypeDescription="Create a new document." ma:contentTypeScope="" ma:versionID="b33157b32dfd7e1c30b83c2d0b8f9d9e">
  <xsd:schema xmlns:xsd="http://www.w3.org/2001/XMLSchema" xmlns:xs="http://www.w3.org/2001/XMLSchema" xmlns:p="http://schemas.microsoft.com/office/2006/metadata/properties" xmlns:ns2="921ce9ea-da6f-416c-a465-cc8d3a218451" xmlns:ns3="7b4a16b5-7b15-442a-82c0-1faa2805afd9" targetNamespace="http://schemas.microsoft.com/office/2006/metadata/properties" ma:root="true" ma:fieldsID="2a1d30cfe0673d3dfcea86c420845d6a" ns2:_="" ns3:_="">
    <xsd:import namespace="921ce9ea-da6f-416c-a465-cc8d3a218451"/>
    <xsd:import namespace="7b4a16b5-7b15-442a-82c0-1faa2805afd9"/>
    <xsd:element name="properties">
      <xsd:complexType>
        <xsd:sequence>
          <xsd:element name="documentManagement">
            <xsd:complexType>
              <xsd:all>
                <xsd:element ref="ns2:MediaServiceMetadata" minOccurs="0"/>
                <xsd:element ref="ns2:MediaServiceFastMetadata"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SearchPropertie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1ce9ea-da6f-416c-a465-cc8d3a2184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4a16b5-7b15-442a-82c0-1faa2805afd9"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de21c2b3-27ea-4d95-9e59-add43f1b5da5}" ma:internalName="TaxCatchAll" ma:showField="CatchAllData" ma:web="7b4a16b5-7b15-442a-82c0-1faa2805afd9">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b4a16b5-7b15-442a-82c0-1faa2805afd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9EC896-AEA7-41BC-9A14-1AD282BA79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1ce9ea-da6f-416c-a465-cc8d3a218451"/>
    <ds:schemaRef ds:uri="7b4a16b5-7b15-442a-82c0-1faa2805af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0BB4BC-EEB4-4D0F-9A4F-AE53E7D19667}">
  <ds:schemaRefs>
    <ds:schemaRef ds:uri="http://schemas.microsoft.com/office/2006/metadata/properties"/>
    <ds:schemaRef ds:uri="http://schemas.microsoft.com/office/infopath/2007/PartnerControls"/>
    <ds:schemaRef ds:uri="7b4a16b5-7b15-442a-82c0-1faa2805afd9"/>
  </ds:schemaRefs>
</ds:datastoreItem>
</file>

<file path=customXml/itemProps3.xml><?xml version="1.0" encoding="utf-8"?>
<ds:datastoreItem xmlns:ds="http://schemas.openxmlformats.org/officeDocument/2006/customXml" ds:itemID="{65F23CF0-2452-4C84-A3A9-68374745AF1D}">
  <ds:schemaRefs>
    <ds:schemaRef ds:uri="http://schemas.microsoft.com/sharepoint/v3/contenttype/forms"/>
  </ds:schemaRefs>
</ds:datastoreItem>
</file>

<file path=docMetadata/LabelInfo.xml><?xml version="1.0" encoding="utf-8"?>
<clbl:labelList xmlns:clbl="http://schemas.microsoft.com/office/2020/mipLabelMetadata">
  <clbl:label id="{a8eec281-aaa3-4dae-ac9b-9a398b9215e7}" enabled="0" method="" siteId="{a8eec281-aaa3-4dae-ac9b-9a398b9215e7}" removed="1"/>
</clbl:labelList>
</file>

<file path=docProps/app.xml><?xml version="1.0" encoding="utf-8"?>
<Properties xmlns="http://schemas.openxmlformats.org/officeDocument/2006/extended-properties" xmlns:vt="http://schemas.openxmlformats.org/officeDocument/2006/docPropsVTypes">
  <Template>Normal.dotm</Template>
  <TotalTime>95</TotalTime>
  <Pages>7</Pages>
  <Words>1563</Words>
  <Characters>8914</Characters>
  <Application>Microsoft Office Word</Application>
  <DocSecurity>0</DocSecurity>
  <Lines>74</Lines>
  <Paragraphs>20</Paragraphs>
  <ScaleCrop>false</ScaleCrop>
  <Company/>
  <LinksUpToDate>false</LinksUpToDate>
  <CharactersWithSpaces>10457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Bacon</dc:creator>
  <cp:keywords/>
  <dc:description/>
  <cp:lastModifiedBy>Andrew Bacon</cp:lastModifiedBy>
  <cp:revision>88</cp:revision>
  <dcterms:created xsi:type="dcterms:W3CDTF">2026-06-25T21:09:00Z</dcterms:created>
  <dcterms:modified xsi:type="dcterms:W3CDTF">2026-06-25T22:44:00Z</dcterms:modified>
</cp:coreProperties>
</file>